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ascii="仿宋" w:hAnsi="仿宋" w:eastAsia="仿宋" w:cs="宋体"/>
          <w:b w:val="0"/>
          <w:kern w:val="2"/>
          <w:sz w:val="28"/>
          <w:szCs w:val="36"/>
        </w:rPr>
      </w:pPr>
      <w:r>
        <w:rPr>
          <w:rFonts w:hint="eastAsia" w:ascii="仿宋" w:hAnsi="仿宋" w:eastAsia="仿宋" w:cs="宋体"/>
          <w:b w:val="0"/>
          <w:kern w:val="2"/>
          <w:sz w:val="28"/>
          <w:szCs w:val="36"/>
          <w:lang w:val="en-US" w:eastAsia="zh-CN"/>
        </w:rPr>
        <w:t>附</w:t>
      </w:r>
      <w:r>
        <w:rPr>
          <w:rFonts w:ascii="仿宋" w:hAnsi="仿宋" w:eastAsia="仿宋" w:cs="宋体"/>
          <w:b w:val="0"/>
          <w:kern w:val="2"/>
          <w:sz w:val="28"/>
          <w:szCs w:val="36"/>
        </w:rPr>
        <w:t>件</w:t>
      </w:r>
      <w:r>
        <w:rPr>
          <w:rFonts w:hint="eastAsia" w:ascii="仿宋" w:hAnsi="仿宋" w:eastAsia="仿宋" w:cs="宋体"/>
          <w:b w:val="0"/>
          <w:kern w:val="2"/>
          <w:sz w:val="28"/>
          <w:szCs w:val="36"/>
          <w:lang w:val="en-US" w:eastAsia="zh-CN"/>
        </w:rPr>
        <w:t>1</w:t>
      </w:r>
      <w:r>
        <w:rPr>
          <w:rFonts w:ascii="仿宋" w:hAnsi="仿宋" w:eastAsia="仿宋" w:cs="宋体"/>
          <w:b w:val="0"/>
          <w:kern w:val="2"/>
          <w:sz w:val="28"/>
          <w:szCs w:val="36"/>
        </w:rPr>
        <w:t>：</w:t>
      </w:r>
    </w:p>
    <w:p>
      <w:pPr>
        <w:adjustRightInd w:val="0"/>
        <w:snapToGrid w:val="0"/>
        <w:spacing w:line="360" w:lineRule="auto"/>
        <w:ind w:firstLine="562" w:firstLineChars="200"/>
        <w:jc w:val="center"/>
        <w:rPr>
          <w:rFonts w:hint="eastAsia" w:ascii="仿宋" w:hAnsi="仿宋" w:eastAsia="仿宋" w:cs="宋体"/>
          <w:b/>
          <w:sz w:val="28"/>
          <w:szCs w:val="36"/>
          <w:lang w:val="en-US" w:eastAsia="zh-CN"/>
        </w:rPr>
      </w:pPr>
      <w:r>
        <w:rPr>
          <w:rFonts w:ascii="仿宋" w:hAnsi="仿宋" w:eastAsia="仿宋" w:cs="宋体"/>
          <w:b/>
          <w:sz w:val="28"/>
          <w:szCs w:val="36"/>
        </w:rPr>
        <w:t>202</w:t>
      </w:r>
      <w:r>
        <w:rPr>
          <w:rFonts w:hint="eastAsia" w:ascii="仿宋" w:hAnsi="仿宋" w:eastAsia="仿宋" w:cs="宋体"/>
          <w:b/>
          <w:sz w:val="28"/>
          <w:szCs w:val="36"/>
          <w:lang w:val="en-US" w:eastAsia="zh-CN"/>
        </w:rPr>
        <w:t>0</w:t>
      </w:r>
      <w:r>
        <w:rPr>
          <w:rFonts w:ascii="仿宋" w:hAnsi="仿宋" w:eastAsia="仿宋" w:cs="宋体"/>
          <w:b/>
          <w:sz w:val="28"/>
          <w:szCs w:val="36"/>
        </w:rPr>
        <w:t>年度</w:t>
      </w:r>
      <w:r>
        <w:rPr>
          <w:rFonts w:hint="eastAsia" w:ascii="仿宋" w:hAnsi="仿宋" w:eastAsia="仿宋" w:cs="宋体"/>
          <w:b/>
          <w:sz w:val="28"/>
          <w:szCs w:val="36"/>
        </w:rPr>
        <w:t>超声医学工程</w:t>
      </w:r>
      <w:r>
        <w:rPr>
          <w:rFonts w:ascii="仿宋" w:hAnsi="仿宋" w:eastAsia="仿宋" w:cs="宋体"/>
          <w:b/>
          <w:sz w:val="28"/>
          <w:szCs w:val="36"/>
        </w:rPr>
        <w:t>国家重点实验室开放课题拟</w:t>
      </w:r>
      <w:r>
        <w:rPr>
          <w:rFonts w:hint="eastAsia" w:ascii="仿宋" w:hAnsi="仿宋" w:eastAsia="仿宋" w:cs="宋体"/>
          <w:b/>
          <w:sz w:val="28"/>
          <w:szCs w:val="36"/>
          <w:lang w:val="en-US" w:eastAsia="zh-CN"/>
        </w:rPr>
        <w:t>结题清单</w:t>
      </w:r>
    </w:p>
    <w:p>
      <w:pPr>
        <w:adjustRightInd w:val="0"/>
        <w:snapToGrid w:val="0"/>
        <w:spacing w:line="240" w:lineRule="auto"/>
        <w:ind w:firstLine="420" w:firstLineChars="200"/>
        <w:jc w:val="center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                                                                                                          </w:t>
      </w: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>单位：万元</w:t>
      </w:r>
    </w:p>
    <w:tbl>
      <w:tblPr>
        <w:tblStyle w:val="3"/>
        <w:tblW w:w="51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332"/>
        <w:gridCol w:w="1245"/>
        <w:gridCol w:w="693"/>
        <w:gridCol w:w="4184"/>
        <w:gridCol w:w="1905"/>
        <w:gridCol w:w="1470"/>
        <w:gridCol w:w="1680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5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课题编号</w:t>
            </w:r>
          </w:p>
        </w:tc>
        <w:tc>
          <w:tcPr>
            <w:tcW w:w="42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课题负责人</w:t>
            </w:r>
          </w:p>
        </w:tc>
        <w:tc>
          <w:tcPr>
            <w:tcW w:w="23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143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65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22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sz w:val="22"/>
                <w:szCs w:val="36"/>
                <w:lang w:val="en-US" w:eastAsia="zh-CN"/>
              </w:rPr>
              <w:t>国家重点实验室</w:t>
            </w:r>
            <w:r>
              <w:rPr>
                <w:rFonts w:hint="eastAsia" w:ascii="仿宋" w:hAnsi="仿宋" w:eastAsia="仿宋" w:cs="宋体"/>
                <w:b/>
                <w:sz w:val="22"/>
                <w:szCs w:val="36"/>
              </w:rPr>
              <w:t>资助经费</w:t>
            </w:r>
          </w:p>
        </w:tc>
        <w:tc>
          <w:tcPr>
            <w:tcW w:w="57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b/>
                <w:sz w:val="2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sz w:val="22"/>
                <w:szCs w:val="36"/>
                <w:lang w:val="en-US" w:eastAsia="zh-CN"/>
              </w:rPr>
              <w:t>课题承担单位配套或者自筹经费</w:t>
            </w:r>
          </w:p>
        </w:tc>
        <w:tc>
          <w:tcPr>
            <w:tcW w:w="46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b/>
                <w:sz w:val="2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sz w:val="22"/>
                <w:szCs w:val="36"/>
                <w:lang w:val="en-US" w:eastAsia="zh-CN"/>
              </w:rPr>
              <w:t>总经费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232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2020KFKT001</w:t>
            </w:r>
          </w:p>
        </w:tc>
        <w:tc>
          <w:tcPr>
            <w:tcW w:w="4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薛敏</w:t>
            </w:r>
          </w:p>
        </w:tc>
        <w:tc>
          <w:tcPr>
            <w:tcW w:w="23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</w:t>
            </w:r>
          </w:p>
        </w:tc>
        <w:tc>
          <w:tcPr>
            <w:tcW w:w="143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HIFU联合GnRH-a与单纯GnRH-a治疗有生育要求子宫腺肌病妊娠结局实用性临床研究</w:t>
            </w:r>
          </w:p>
        </w:tc>
        <w:tc>
          <w:tcPr>
            <w:tcW w:w="65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中南大学湘雅三医院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7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6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232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2020KFKT002</w:t>
            </w:r>
          </w:p>
        </w:tc>
        <w:tc>
          <w:tcPr>
            <w:tcW w:w="4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赵淑萍</w:t>
            </w:r>
          </w:p>
        </w:tc>
        <w:tc>
          <w:tcPr>
            <w:tcW w:w="23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</w:t>
            </w:r>
          </w:p>
        </w:tc>
        <w:tc>
          <w:tcPr>
            <w:tcW w:w="143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FUAS联合清宫术与单纯清宫术治疗Ⅱ型瘢痕妊娠临床疗效的随机对照研究</w:t>
            </w:r>
          </w:p>
        </w:tc>
        <w:tc>
          <w:tcPr>
            <w:tcW w:w="65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青岛市妇女儿童医院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7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6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232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2020KFKT003</w:t>
            </w:r>
          </w:p>
        </w:tc>
        <w:tc>
          <w:tcPr>
            <w:tcW w:w="4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胡辉权</w:t>
            </w:r>
          </w:p>
        </w:tc>
        <w:tc>
          <w:tcPr>
            <w:tcW w:w="23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面上</w:t>
            </w:r>
          </w:p>
        </w:tc>
        <w:tc>
          <w:tcPr>
            <w:tcW w:w="143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高强度聚焦超声(HIFU)治疗育龄期女性子宫肌瘤的近远期疗效研究</w:t>
            </w:r>
          </w:p>
        </w:tc>
        <w:tc>
          <w:tcPr>
            <w:tcW w:w="65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南充市中心医院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6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232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KFKT00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4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黄叶芳</w:t>
            </w:r>
          </w:p>
        </w:tc>
        <w:tc>
          <w:tcPr>
            <w:tcW w:w="23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面上</w:t>
            </w:r>
          </w:p>
        </w:tc>
        <w:tc>
          <w:tcPr>
            <w:tcW w:w="143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HIFU联合桂枝茯苓胶囊序贯治疗子宫肌瘤的多中心随机对照临床研究</w:t>
            </w:r>
          </w:p>
        </w:tc>
        <w:tc>
          <w:tcPr>
            <w:tcW w:w="65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成都中医药大学附属医院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6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232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KFKT00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4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王妍</w:t>
            </w:r>
          </w:p>
        </w:tc>
        <w:tc>
          <w:tcPr>
            <w:tcW w:w="23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面上</w:t>
            </w:r>
          </w:p>
        </w:tc>
        <w:tc>
          <w:tcPr>
            <w:tcW w:w="143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中医药干预在 HIFU 治疗子宫腺肌病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围术期的镇痛疗效研究</w:t>
            </w:r>
          </w:p>
        </w:tc>
        <w:tc>
          <w:tcPr>
            <w:tcW w:w="65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成都中医药大学附属医院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6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232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2020KFKT007</w:t>
            </w:r>
          </w:p>
        </w:tc>
        <w:tc>
          <w:tcPr>
            <w:tcW w:w="4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汤丽莎</w:t>
            </w:r>
          </w:p>
        </w:tc>
        <w:tc>
          <w:tcPr>
            <w:tcW w:w="23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面上</w:t>
            </w:r>
          </w:p>
        </w:tc>
        <w:tc>
          <w:tcPr>
            <w:tcW w:w="143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 AMH 评价 HIFU 治疗子宫肌瘤对卵巢功能影响的临床研究</w:t>
            </w:r>
          </w:p>
        </w:tc>
        <w:tc>
          <w:tcPr>
            <w:tcW w:w="65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连云港市妇幼保健院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6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232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2020KFKT008</w:t>
            </w:r>
          </w:p>
        </w:tc>
        <w:tc>
          <w:tcPr>
            <w:tcW w:w="4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顾品浪</w:t>
            </w:r>
          </w:p>
        </w:tc>
        <w:tc>
          <w:tcPr>
            <w:tcW w:w="23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面上</w:t>
            </w:r>
          </w:p>
        </w:tc>
        <w:tc>
          <w:tcPr>
            <w:tcW w:w="143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MRI分型在评价HIFU治疗子宫腺肌病痛经疗效中的应用研究</w:t>
            </w:r>
          </w:p>
        </w:tc>
        <w:tc>
          <w:tcPr>
            <w:tcW w:w="65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连云港市妇幼保健院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6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232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2020KFKT009</w:t>
            </w:r>
          </w:p>
        </w:tc>
        <w:tc>
          <w:tcPr>
            <w:tcW w:w="4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刘芳</w:t>
            </w:r>
          </w:p>
        </w:tc>
        <w:tc>
          <w:tcPr>
            <w:tcW w:w="23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面上</w:t>
            </w:r>
          </w:p>
        </w:tc>
        <w:tc>
          <w:tcPr>
            <w:tcW w:w="143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FUAS治疗子宫肌瘤发生皮肤损伤机制</w:t>
            </w:r>
          </w:p>
        </w:tc>
        <w:tc>
          <w:tcPr>
            <w:tcW w:w="65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遂宁中心医院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6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232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2020KFKT010</w:t>
            </w:r>
          </w:p>
        </w:tc>
        <w:tc>
          <w:tcPr>
            <w:tcW w:w="4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王志强</w:t>
            </w:r>
          </w:p>
        </w:tc>
        <w:tc>
          <w:tcPr>
            <w:tcW w:w="23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面上</w:t>
            </w:r>
          </w:p>
        </w:tc>
        <w:tc>
          <w:tcPr>
            <w:tcW w:w="143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高强度聚焦超声对肺癌骨转移患者止痛效果的影响：一项单中心、非随机、平行对照、非劣效试验</w:t>
            </w:r>
          </w:p>
        </w:tc>
        <w:tc>
          <w:tcPr>
            <w:tcW w:w="65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遂宁中心医院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6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232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2020KFKT011</w:t>
            </w:r>
          </w:p>
        </w:tc>
        <w:tc>
          <w:tcPr>
            <w:tcW w:w="4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杨宏伟</w:t>
            </w:r>
          </w:p>
        </w:tc>
        <w:tc>
          <w:tcPr>
            <w:tcW w:w="23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面上</w:t>
            </w:r>
          </w:p>
        </w:tc>
        <w:tc>
          <w:tcPr>
            <w:tcW w:w="143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HIFU对接受新辅助治疗乳腺癌的局部控制价值及机体免疫状态的影响</w:t>
            </w:r>
          </w:p>
        </w:tc>
        <w:tc>
          <w:tcPr>
            <w:tcW w:w="65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遂宁中心医院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6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232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2020KFKT012</w:t>
            </w:r>
          </w:p>
        </w:tc>
        <w:tc>
          <w:tcPr>
            <w:tcW w:w="4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</w:t>
            </w:r>
          </w:p>
        </w:tc>
        <w:tc>
          <w:tcPr>
            <w:tcW w:w="23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面上</w:t>
            </w:r>
          </w:p>
        </w:tc>
        <w:tc>
          <w:tcPr>
            <w:tcW w:w="143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聚焦超声消融术(FUAS)治疗生育期女性子宫肌瘤卵巢功能变化的随机对照研究</w:t>
            </w:r>
          </w:p>
        </w:tc>
        <w:tc>
          <w:tcPr>
            <w:tcW w:w="65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柳州市妇幼保健院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6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232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2020KFKT013</w:t>
            </w:r>
          </w:p>
        </w:tc>
        <w:tc>
          <w:tcPr>
            <w:tcW w:w="4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余枭</w:t>
            </w:r>
          </w:p>
        </w:tc>
        <w:tc>
          <w:tcPr>
            <w:tcW w:w="23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面上</w:t>
            </w:r>
          </w:p>
        </w:tc>
        <w:tc>
          <w:tcPr>
            <w:tcW w:w="143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高强度聚焦超声消融术（HIFU）与外科手术治疗交界可切除胰腺癌的疗效比较</w:t>
            </w:r>
          </w:p>
        </w:tc>
        <w:tc>
          <w:tcPr>
            <w:tcW w:w="65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中南大学湘雅三医院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6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232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2020KFKT014</w:t>
            </w:r>
          </w:p>
        </w:tc>
        <w:tc>
          <w:tcPr>
            <w:tcW w:w="4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金平</w:t>
            </w:r>
          </w:p>
        </w:tc>
        <w:tc>
          <w:tcPr>
            <w:tcW w:w="23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面上</w:t>
            </w:r>
          </w:p>
        </w:tc>
        <w:tc>
          <w:tcPr>
            <w:tcW w:w="143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高强度聚焦超声消融手术联合不同药物治疗子宫腺肌症的临床研究 </w:t>
            </w: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 </w:t>
            </w:r>
          </w:p>
        </w:tc>
        <w:tc>
          <w:tcPr>
            <w:tcW w:w="65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深圳市妇幼保健院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6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232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2020KFKT015</w:t>
            </w:r>
          </w:p>
        </w:tc>
        <w:tc>
          <w:tcPr>
            <w:tcW w:w="4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鲜于剑波</w:t>
            </w:r>
          </w:p>
        </w:tc>
        <w:tc>
          <w:tcPr>
            <w:tcW w:w="23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面上</w:t>
            </w:r>
          </w:p>
        </w:tc>
        <w:tc>
          <w:tcPr>
            <w:tcW w:w="143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聚焦超声手术（FUS）治疗乳腺癌的可行性及安全性研究</w:t>
            </w:r>
          </w:p>
        </w:tc>
        <w:tc>
          <w:tcPr>
            <w:tcW w:w="65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绵阳市中心医院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57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17.5</w:t>
            </w:r>
          </w:p>
        </w:tc>
        <w:tc>
          <w:tcPr>
            <w:tcW w:w="46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232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2020KFKT016</w:t>
            </w:r>
          </w:p>
        </w:tc>
        <w:tc>
          <w:tcPr>
            <w:tcW w:w="4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杜小波</w:t>
            </w:r>
          </w:p>
        </w:tc>
        <w:tc>
          <w:tcPr>
            <w:tcW w:w="23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面上</w:t>
            </w:r>
          </w:p>
        </w:tc>
        <w:tc>
          <w:tcPr>
            <w:tcW w:w="143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HIFU联合PD-1抑制剂治疗晚期肝转移恶性肿瘤I/II期临床研究</w:t>
            </w:r>
          </w:p>
        </w:tc>
        <w:tc>
          <w:tcPr>
            <w:tcW w:w="65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绵阳市中心医院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6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232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2020KFKT017</w:t>
            </w:r>
          </w:p>
        </w:tc>
        <w:tc>
          <w:tcPr>
            <w:tcW w:w="4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张勇</w:t>
            </w:r>
          </w:p>
        </w:tc>
        <w:tc>
          <w:tcPr>
            <w:tcW w:w="23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面上</w:t>
            </w:r>
          </w:p>
        </w:tc>
        <w:tc>
          <w:tcPr>
            <w:tcW w:w="143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基于高强度聚焦超声（HIFU）联合热球子宫内膜消融（TBEA）精准化治疗方案治疗子宫腺肌病相关异常子宫出血的临床研究</w:t>
            </w:r>
          </w:p>
        </w:tc>
        <w:tc>
          <w:tcPr>
            <w:tcW w:w="65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绵阳市中心医院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6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232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2020KFKT018</w:t>
            </w:r>
          </w:p>
        </w:tc>
        <w:tc>
          <w:tcPr>
            <w:tcW w:w="42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张晓红</w:t>
            </w:r>
          </w:p>
        </w:tc>
        <w:tc>
          <w:tcPr>
            <w:tcW w:w="23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面上</w:t>
            </w:r>
          </w:p>
        </w:tc>
        <w:tc>
          <w:tcPr>
            <w:tcW w:w="143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聚焦超声手术消融晚期乳腺癌的可行性及安全性研究</w:t>
            </w:r>
          </w:p>
        </w:tc>
        <w:tc>
          <w:tcPr>
            <w:tcW w:w="65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绵阳市中心医院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</w:t>
            </w:r>
          </w:p>
        </w:tc>
        <w:tc>
          <w:tcPr>
            <w:tcW w:w="57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6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3451" w:type="pct"/>
            <w:gridSpan w:val="6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t>84.7</w:t>
            </w:r>
          </w:p>
        </w:tc>
        <w:tc>
          <w:tcPr>
            <w:tcW w:w="57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t>423.5</w:t>
            </w:r>
          </w:p>
        </w:tc>
        <w:tc>
          <w:tcPr>
            <w:tcW w:w="46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t>508.2</w:t>
            </w:r>
          </w:p>
        </w:tc>
      </w:tr>
    </w:tbl>
    <w:p>
      <w:pPr>
        <w:keepNext w:val="0"/>
        <w:keepLines w:val="0"/>
        <w:widowControl/>
        <w:suppressLineNumbers w:val="0"/>
        <w:spacing w:line="360" w:lineRule="auto"/>
        <w:ind w:firstLine="3920" w:firstLineChars="14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OTM1MGQ5Y2RjNDAwMmU3MTQ2MGM4MGQ1YTBlZTIifQ=="/>
  </w:docVars>
  <w:rsids>
    <w:rsidRoot w:val="051D1BA9"/>
    <w:rsid w:val="051D1BA9"/>
    <w:rsid w:val="31C27FB7"/>
    <w:rsid w:val="66E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basedOn w:val="4"/>
    <w:autoRedefine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2023-09-05T09:16:00Z</dcterms:created>
  <dc:creator>微信用户</dc:creator>
  <cp:lastModifiedBy>微信用户</cp:lastModifiedBy>
  <dcterms:modified xsi:type="dcterms:W3CDTF">2024-03-04T07:23:27Z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657FE749966F4D87B1C87C9127DDE2F4_11</vt:lpwstr>
  </property>
</Properties>
</file>