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仿宋" w:hAnsi="仿宋" w:eastAsia="仿宋" w:cs="宋体"/>
          <w:b w:val="0"/>
          <w:kern w:val="2"/>
          <w:sz w:val="28"/>
          <w:szCs w:val="36"/>
        </w:rPr>
      </w:pPr>
      <w:r>
        <w:rPr>
          <w:rFonts w:hint="eastAsia" w:ascii="仿宋" w:hAnsi="仿宋" w:eastAsia="仿宋" w:cs="宋体"/>
          <w:b w:val="0"/>
          <w:kern w:val="2"/>
          <w:sz w:val="28"/>
          <w:szCs w:val="36"/>
          <w:lang w:val="en-US" w:eastAsia="zh-CN"/>
        </w:rPr>
        <w:t>附</w:t>
      </w:r>
      <w:r>
        <w:rPr>
          <w:rFonts w:ascii="仿宋" w:hAnsi="仿宋" w:eastAsia="仿宋" w:cs="宋体"/>
          <w:b w:val="0"/>
          <w:kern w:val="2"/>
          <w:sz w:val="28"/>
          <w:szCs w:val="36"/>
        </w:rPr>
        <w:t>件</w:t>
      </w:r>
      <w:r>
        <w:rPr>
          <w:rFonts w:hint="eastAsia" w:ascii="仿宋" w:hAnsi="仿宋" w:eastAsia="仿宋" w:cs="宋体"/>
          <w:b w:val="0"/>
          <w:kern w:val="2"/>
          <w:sz w:val="28"/>
          <w:szCs w:val="36"/>
          <w:lang w:val="en-US" w:eastAsia="zh-CN"/>
        </w:rPr>
        <w:t>1</w:t>
      </w:r>
      <w:r>
        <w:rPr>
          <w:rFonts w:ascii="仿宋" w:hAnsi="仿宋" w:eastAsia="仿宋" w:cs="宋体"/>
          <w:b w:val="0"/>
          <w:kern w:val="2"/>
          <w:sz w:val="28"/>
          <w:szCs w:val="36"/>
        </w:rPr>
        <w:t>：</w:t>
      </w:r>
    </w:p>
    <w:p>
      <w:pPr>
        <w:adjustRightInd w:val="0"/>
        <w:snapToGrid w:val="0"/>
        <w:spacing w:line="360" w:lineRule="auto"/>
        <w:ind w:firstLine="562" w:firstLineChars="200"/>
        <w:jc w:val="center"/>
        <w:rPr>
          <w:rFonts w:hint="eastAsia" w:ascii="仿宋" w:hAnsi="仿宋" w:eastAsia="仿宋" w:cs="宋体"/>
          <w:b/>
          <w:sz w:val="28"/>
          <w:szCs w:val="36"/>
          <w:lang w:val="en-US" w:eastAsia="zh-CN"/>
        </w:rPr>
      </w:pPr>
      <w:r>
        <w:rPr>
          <w:rFonts w:ascii="仿宋" w:hAnsi="仿宋" w:eastAsia="仿宋" w:cs="宋体"/>
          <w:b/>
          <w:sz w:val="28"/>
          <w:szCs w:val="36"/>
        </w:rPr>
        <w:t>202</w:t>
      </w:r>
      <w:r>
        <w:rPr>
          <w:rFonts w:hint="eastAsia" w:ascii="仿宋" w:hAnsi="仿宋" w:eastAsia="仿宋" w:cs="宋体"/>
          <w:b/>
          <w:sz w:val="28"/>
          <w:szCs w:val="36"/>
          <w:lang w:val="en-US" w:eastAsia="zh-CN"/>
        </w:rPr>
        <w:t>1</w:t>
      </w:r>
      <w:r>
        <w:rPr>
          <w:rFonts w:ascii="仿宋" w:hAnsi="仿宋" w:eastAsia="仿宋" w:cs="宋体"/>
          <w:b/>
          <w:sz w:val="28"/>
          <w:szCs w:val="36"/>
        </w:rPr>
        <w:t>年</w:t>
      </w:r>
      <w:r>
        <w:rPr>
          <w:rFonts w:hint="eastAsia" w:ascii="仿宋" w:hAnsi="仿宋" w:eastAsia="仿宋" w:cs="宋体"/>
          <w:b/>
          <w:sz w:val="28"/>
          <w:szCs w:val="36"/>
          <w:lang w:eastAsia="zh-CN"/>
        </w:rPr>
        <w:t>第二批</w:t>
      </w:r>
      <w:bookmarkStart w:id="0" w:name="_GoBack"/>
      <w:bookmarkEnd w:id="0"/>
      <w:r>
        <w:rPr>
          <w:rFonts w:hint="eastAsia" w:ascii="仿宋" w:hAnsi="仿宋" w:eastAsia="仿宋" w:cs="宋体"/>
          <w:b/>
          <w:sz w:val="28"/>
          <w:szCs w:val="36"/>
        </w:rPr>
        <w:t>超声医学工程</w:t>
      </w:r>
      <w:r>
        <w:rPr>
          <w:rFonts w:ascii="仿宋" w:hAnsi="仿宋" w:eastAsia="仿宋" w:cs="宋体"/>
          <w:b/>
          <w:sz w:val="28"/>
          <w:szCs w:val="36"/>
        </w:rPr>
        <w:t>国家重点实验室开放课题拟</w:t>
      </w:r>
      <w:r>
        <w:rPr>
          <w:rFonts w:hint="eastAsia" w:ascii="仿宋" w:hAnsi="仿宋" w:eastAsia="仿宋" w:cs="宋体"/>
          <w:b/>
          <w:sz w:val="28"/>
          <w:szCs w:val="36"/>
          <w:lang w:val="en-US" w:eastAsia="zh-CN"/>
        </w:rPr>
        <w:t>结题清单</w:t>
      </w:r>
    </w:p>
    <w:p>
      <w:pPr>
        <w:adjustRightInd w:val="0"/>
        <w:snapToGrid w:val="0"/>
        <w:spacing w:line="240" w:lineRule="auto"/>
        <w:ind w:firstLine="420" w:firstLineChars="20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                                                                                                             </w:t>
      </w:r>
      <w:r>
        <w:rPr>
          <w:rFonts w:hint="eastAsia" w:ascii="楷体" w:hAnsi="楷体" w:eastAsia="楷体" w:cs="楷体"/>
          <w:b w:val="0"/>
          <w:bCs/>
          <w:sz w:val="24"/>
          <w:szCs w:val="24"/>
          <w:lang w:val="en-US" w:eastAsia="zh-CN"/>
        </w:rPr>
        <w:t>单位：万元</w:t>
      </w:r>
    </w:p>
    <w:tbl>
      <w:tblPr>
        <w:tblStyle w:val="3"/>
        <w:tblW w:w="52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1350"/>
        <w:gridCol w:w="783"/>
        <w:gridCol w:w="4515"/>
        <w:gridCol w:w="2133"/>
        <w:gridCol w:w="1619"/>
        <w:gridCol w:w="172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tcMar>
              <w:top w:w="15" w:type="dxa"/>
              <w:left w:w="15" w:type="dxa"/>
              <w:right w:w="15" w:type="dxa"/>
            </w:tcMar>
            <w:vAlign w:val="center"/>
          </w:tcPr>
          <w:p>
            <w:pPr>
              <w:widowControl/>
              <w:jc w:val="center"/>
              <w:textAlignment w:val="center"/>
              <w:rPr>
                <w:rFonts w:ascii="仿宋" w:hAnsi="仿宋" w:eastAsia="仿宋" w:cs="宋体"/>
                <w:b/>
                <w:sz w:val="22"/>
                <w:szCs w:val="36"/>
              </w:rPr>
            </w:pPr>
            <w:r>
              <w:rPr>
                <w:rFonts w:hint="eastAsia" w:ascii="仿宋" w:hAnsi="仿宋" w:eastAsia="仿宋" w:cs="宋体"/>
                <w:b/>
                <w:sz w:val="22"/>
                <w:szCs w:val="36"/>
              </w:rPr>
              <w:t>课题编号</w:t>
            </w:r>
          </w:p>
        </w:tc>
        <w:tc>
          <w:tcPr>
            <w:tcW w:w="463" w:type="pct"/>
            <w:noWrap/>
            <w:tcMar>
              <w:top w:w="15" w:type="dxa"/>
              <w:left w:w="15" w:type="dxa"/>
              <w:right w:w="15" w:type="dxa"/>
            </w:tcMar>
            <w:vAlign w:val="center"/>
          </w:tcPr>
          <w:p>
            <w:pPr>
              <w:widowControl/>
              <w:jc w:val="center"/>
              <w:textAlignment w:val="center"/>
              <w:rPr>
                <w:rFonts w:ascii="仿宋" w:hAnsi="仿宋" w:eastAsia="仿宋" w:cs="宋体"/>
                <w:b/>
                <w:sz w:val="22"/>
                <w:szCs w:val="36"/>
              </w:rPr>
            </w:pPr>
            <w:r>
              <w:rPr>
                <w:rFonts w:hint="eastAsia" w:ascii="仿宋" w:hAnsi="仿宋" w:eastAsia="仿宋" w:cs="宋体"/>
                <w:b/>
                <w:sz w:val="22"/>
                <w:szCs w:val="36"/>
              </w:rPr>
              <w:t>课题负责人</w:t>
            </w:r>
          </w:p>
        </w:tc>
        <w:tc>
          <w:tcPr>
            <w:tcW w:w="268" w:type="pct"/>
            <w:noWrap/>
            <w:tcMar>
              <w:top w:w="15" w:type="dxa"/>
              <w:left w:w="15" w:type="dxa"/>
              <w:right w:w="15" w:type="dxa"/>
            </w:tcMar>
            <w:vAlign w:val="center"/>
          </w:tcPr>
          <w:p>
            <w:pPr>
              <w:widowControl/>
              <w:jc w:val="center"/>
              <w:textAlignment w:val="center"/>
              <w:rPr>
                <w:rFonts w:ascii="仿宋" w:hAnsi="仿宋" w:eastAsia="仿宋" w:cs="宋体"/>
                <w:b/>
                <w:sz w:val="22"/>
                <w:szCs w:val="36"/>
              </w:rPr>
            </w:pPr>
            <w:r>
              <w:rPr>
                <w:rFonts w:hint="eastAsia" w:ascii="仿宋" w:hAnsi="仿宋" w:eastAsia="仿宋" w:cs="宋体"/>
                <w:b/>
                <w:sz w:val="22"/>
                <w:szCs w:val="36"/>
              </w:rPr>
              <w:t>类型</w:t>
            </w:r>
          </w:p>
        </w:tc>
        <w:tc>
          <w:tcPr>
            <w:tcW w:w="1549" w:type="pct"/>
            <w:noWrap/>
            <w:tcMar>
              <w:top w:w="15" w:type="dxa"/>
              <w:left w:w="15" w:type="dxa"/>
              <w:right w:w="15" w:type="dxa"/>
            </w:tcMar>
            <w:vAlign w:val="center"/>
          </w:tcPr>
          <w:p>
            <w:pPr>
              <w:widowControl/>
              <w:jc w:val="center"/>
              <w:textAlignment w:val="center"/>
              <w:rPr>
                <w:rFonts w:ascii="仿宋" w:hAnsi="仿宋" w:eastAsia="仿宋" w:cs="宋体"/>
                <w:b/>
                <w:sz w:val="22"/>
                <w:szCs w:val="36"/>
              </w:rPr>
            </w:pPr>
            <w:r>
              <w:rPr>
                <w:rFonts w:hint="eastAsia" w:ascii="仿宋" w:hAnsi="仿宋" w:eastAsia="仿宋" w:cs="宋体"/>
                <w:b/>
                <w:sz w:val="22"/>
                <w:szCs w:val="36"/>
              </w:rPr>
              <w:t>课题名称</w:t>
            </w:r>
          </w:p>
        </w:tc>
        <w:tc>
          <w:tcPr>
            <w:tcW w:w="732" w:type="pct"/>
            <w:noWrap/>
            <w:tcMar>
              <w:top w:w="15" w:type="dxa"/>
              <w:left w:w="15" w:type="dxa"/>
              <w:right w:w="15" w:type="dxa"/>
            </w:tcMar>
            <w:vAlign w:val="center"/>
          </w:tcPr>
          <w:p>
            <w:pPr>
              <w:widowControl/>
              <w:jc w:val="center"/>
              <w:textAlignment w:val="center"/>
              <w:rPr>
                <w:rFonts w:ascii="仿宋" w:hAnsi="仿宋" w:eastAsia="仿宋" w:cs="宋体"/>
                <w:b/>
                <w:sz w:val="22"/>
                <w:szCs w:val="36"/>
              </w:rPr>
            </w:pPr>
            <w:r>
              <w:rPr>
                <w:rFonts w:hint="eastAsia" w:ascii="仿宋" w:hAnsi="仿宋" w:eastAsia="仿宋" w:cs="宋体"/>
                <w:b/>
                <w:sz w:val="22"/>
                <w:szCs w:val="36"/>
              </w:rPr>
              <w:t>单位</w:t>
            </w:r>
          </w:p>
        </w:tc>
        <w:tc>
          <w:tcPr>
            <w:tcW w:w="555" w:type="pct"/>
            <w:noWrap/>
            <w:tcMar>
              <w:top w:w="15" w:type="dxa"/>
              <w:left w:w="15" w:type="dxa"/>
              <w:right w:w="15" w:type="dxa"/>
            </w:tcMar>
            <w:vAlign w:val="center"/>
          </w:tcPr>
          <w:p>
            <w:pPr>
              <w:widowControl/>
              <w:jc w:val="center"/>
              <w:textAlignment w:val="center"/>
              <w:rPr>
                <w:rFonts w:ascii="仿宋" w:hAnsi="仿宋" w:eastAsia="仿宋" w:cs="宋体"/>
                <w:b/>
                <w:sz w:val="22"/>
                <w:szCs w:val="36"/>
              </w:rPr>
            </w:pPr>
            <w:r>
              <w:rPr>
                <w:rFonts w:hint="eastAsia" w:ascii="仿宋" w:hAnsi="仿宋" w:eastAsia="仿宋" w:cs="宋体"/>
                <w:b/>
                <w:sz w:val="22"/>
                <w:szCs w:val="36"/>
              </w:rPr>
              <w:t>国家重点实验室资助经费</w:t>
            </w:r>
          </w:p>
        </w:tc>
        <w:tc>
          <w:tcPr>
            <w:tcW w:w="590" w:type="pct"/>
            <w:noWrap/>
            <w:tcMar>
              <w:top w:w="15" w:type="dxa"/>
              <w:left w:w="15" w:type="dxa"/>
              <w:right w:w="15" w:type="dxa"/>
            </w:tcMar>
            <w:vAlign w:val="center"/>
          </w:tcPr>
          <w:p>
            <w:pPr>
              <w:widowControl/>
              <w:jc w:val="center"/>
              <w:textAlignment w:val="center"/>
              <w:rPr>
                <w:rFonts w:ascii="仿宋" w:hAnsi="仿宋" w:eastAsia="仿宋" w:cs="宋体"/>
                <w:b/>
                <w:sz w:val="22"/>
                <w:szCs w:val="36"/>
              </w:rPr>
            </w:pPr>
            <w:r>
              <w:rPr>
                <w:rFonts w:hint="eastAsia" w:ascii="仿宋" w:hAnsi="仿宋" w:eastAsia="仿宋" w:cs="宋体"/>
                <w:b/>
                <w:sz w:val="22"/>
                <w:szCs w:val="36"/>
              </w:rPr>
              <w:t>课题承担单位配套或者自筹经费</w:t>
            </w:r>
          </w:p>
        </w:tc>
        <w:tc>
          <w:tcPr>
            <w:tcW w:w="354" w:type="pct"/>
            <w:noWrap/>
            <w:tcMar>
              <w:top w:w="15" w:type="dxa"/>
              <w:left w:w="15" w:type="dxa"/>
              <w:right w:w="15" w:type="dxa"/>
            </w:tcMar>
            <w:vAlign w:val="center"/>
          </w:tcPr>
          <w:p>
            <w:pPr>
              <w:widowControl/>
              <w:jc w:val="center"/>
              <w:textAlignment w:val="center"/>
              <w:rPr>
                <w:rFonts w:ascii="仿宋" w:hAnsi="仿宋" w:eastAsia="仿宋" w:cs="宋体"/>
                <w:b/>
                <w:sz w:val="22"/>
                <w:szCs w:val="36"/>
              </w:rPr>
            </w:pPr>
            <w:r>
              <w:rPr>
                <w:rFonts w:hint="eastAsia" w:ascii="仿宋" w:hAnsi="仿宋" w:eastAsia="仿宋" w:cs="宋体"/>
                <w:b/>
                <w:sz w:val="22"/>
                <w:szCs w:val="36"/>
              </w:rPr>
              <w:t>总经费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2021KFKT014</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夏添松</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重点</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经体外聚焦超声手术（FUS）消融早期乳腺癌的可行性及安全性研究</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 xml:space="preserve">江苏省人民医院  </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10万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50万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2021KFKT015</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陈茂山</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聚焦超声增强免疫检查点抑制剂治疗乳腺癌的疗效及机制研究</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遂宁市中心医院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2021KFKT016</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尹恒</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面上</w:t>
            </w:r>
          </w:p>
        </w:tc>
        <w:tc>
          <w:tcPr>
            <w:tcW w:w="1549" w:type="pct"/>
            <w:noWrap w:val="0"/>
            <w:tcMar>
              <w:top w:w="15" w:type="dxa"/>
              <w:left w:w="15" w:type="dxa"/>
              <w:right w:w="15" w:type="dxa"/>
            </w:tcMar>
            <w:vAlign w:val="center"/>
          </w:tcPr>
          <w:p>
            <w:pPr>
              <w:widowControl/>
              <w:tabs>
                <w:tab w:val="left" w:pos="1557"/>
              </w:tabs>
              <w:jc w:val="center"/>
              <w:textAlignment w:val="center"/>
              <w:rPr>
                <w:rFonts w:ascii="仿宋" w:hAnsi="仿宋" w:eastAsia="仿宋" w:cs="宋体"/>
                <w:sz w:val="22"/>
                <w:szCs w:val="36"/>
              </w:rPr>
            </w:pPr>
            <w:r>
              <w:rPr>
                <w:rFonts w:hint="eastAsia" w:ascii="仿宋" w:hAnsi="仿宋" w:eastAsia="仿宋" w:cs="宋体"/>
                <w:sz w:val="22"/>
                <w:szCs w:val="36"/>
              </w:rPr>
              <w:t>高强度聚焦超声治疗年轻女性乳腺纤维腺瘤的前瞻性队列研究</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遂宁市中心医院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2021KFKT017</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郭旭</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聚焦超声消融手术联合乳痞消汤剂治疗</w:t>
            </w:r>
          </w:p>
          <w:p>
            <w:pPr>
              <w:widowControl/>
              <w:jc w:val="center"/>
              <w:textAlignment w:val="center"/>
              <w:rPr>
                <w:rFonts w:ascii="仿宋" w:hAnsi="仿宋" w:eastAsia="仿宋" w:cs="宋体"/>
                <w:sz w:val="22"/>
                <w:szCs w:val="36"/>
              </w:rPr>
            </w:pPr>
            <w:r>
              <w:rPr>
                <w:rFonts w:hint="eastAsia" w:ascii="仿宋" w:hAnsi="仿宋" w:eastAsia="仿宋" w:cs="宋体"/>
                <w:sz w:val="22"/>
                <w:szCs w:val="36"/>
              </w:rPr>
              <w:t xml:space="preserve">乳腺结节的疗效观察 </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遂宁市中医院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2021KFKT018</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奉友刚</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经体外聚焦超声手术联合内分泌药物治疗晚期前列腺癌的短期疗效与安全性分析</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遂宁市中心医院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2021KFKT019</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梁勇</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经体外聚焦超声对前列腺组织计划靶区的适形消融及肿瘤特异性免疫影响研究</w:t>
            </w:r>
          </w:p>
        </w:tc>
        <w:tc>
          <w:tcPr>
            <w:tcW w:w="732" w:type="pct"/>
            <w:noWrap w:val="0"/>
            <w:tcMar>
              <w:top w:w="15" w:type="dxa"/>
              <w:left w:w="15" w:type="dxa"/>
              <w:right w:w="15" w:type="dxa"/>
            </w:tcMar>
            <w:vAlign w:val="center"/>
          </w:tcPr>
          <w:p>
            <w:pPr>
              <w:widowControl/>
              <w:jc w:val="center"/>
              <w:textAlignment w:val="center"/>
              <w:rPr>
                <w:rFonts w:hint="eastAsia" w:ascii="仿宋" w:hAnsi="仿宋" w:eastAsia="仿宋" w:cs="宋体"/>
                <w:sz w:val="22"/>
                <w:szCs w:val="36"/>
              </w:rPr>
            </w:pPr>
            <w:r>
              <w:rPr>
                <w:rFonts w:hint="eastAsia" w:ascii="仿宋" w:hAnsi="仿宋" w:eastAsia="仿宋" w:cs="宋体"/>
                <w:sz w:val="22"/>
                <w:szCs w:val="36"/>
              </w:rPr>
              <w:t>自贡市第四人民</w:t>
            </w:r>
          </w:p>
          <w:p>
            <w:pPr>
              <w:widowControl/>
              <w:jc w:val="center"/>
              <w:textAlignment w:val="center"/>
              <w:rPr>
                <w:rFonts w:ascii="仿宋" w:hAnsi="仿宋" w:eastAsia="仿宋" w:cs="宋体"/>
                <w:sz w:val="22"/>
                <w:szCs w:val="36"/>
              </w:rPr>
            </w:pPr>
            <w:r>
              <w:rPr>
                <w:rFonts w:hint="eastAsia" w:ascii="仿宋" w:hAnsi="仿宋" w:eastAsia="仿宋" w:cs="宋体"/>
                <w:sz w:val="22"/>
                <w:szCs w:val="36"/>
              </w:rPr>
              <w:t>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2021KFKT020</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 xml:space="preserve">陶华 </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 xml:space="preserve">超声超分辩率微血管成像在宫颈病变诊断中的应用价值探索 </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柳州市妇幼保健院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2021KFKT021</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蒋静</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基于MRI新分型的子宫腺肌病HIFU术后疗效及再干预风险评估</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川北医学院</w:t>
            </w:r>
          </w:p>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附属医院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1万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2021KFKT022</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 xml:space="preserve">唐英 </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基于临床特征及高强度聚焦超声消融术疗效的五种子宫腺肌病分型标准比较研究</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南充市中心医院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2021KFKT023</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张翠玲</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子宫腺肌病中医体质评价与高强度聚焦超声消融的慢病管理策略研究</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临沂市中医医院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2021KFKT024</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彭丽秀</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子宫腺肌病患者生育力影响评价及聚焦超声治疗后的妊娠结果</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湖南省郴州市</w:t>
            </w:r>
          </w:p>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第一人民医院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2021KFKT025</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彭艳</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HIFU部分消融子宫腺肌病后联合宫腔镜手术治疗的探索性研究</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深圳市妇幼保健院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3万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15万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18万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仿宋" w:hAnsi="仿宋" w:eastAsia="仿宋" w:cs="宋体"/>
                <w:sz w:val="22"/>
                <w:szCs w:val="36"/>
              </w:rPr>
              <w:t>2021KFKT026</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韩驰</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MRI联合临床参数新分型评价HIFU联合GnRHa和曼月乐治疗子宫腺肌症疗效的应用研究</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 xml:space="preserve">湘潭市中心医院  </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color w:val="000000"/>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2021KFKT027</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邹存华</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“有生育要求宫颈HSIL病人治疗决策辅助工具”及其真实世界应用的研究</w:t>
            </w:r>
          </w:p>
        </w:tc>
        <w:tc>
          <w:tcPr>
            <w:tcW w:w="732" w:type="pct"/>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2"/>
                <w:szCs w:val="36"/>
              </w:rPr>
            </w:pPr>
            <w:r>
              <w:rPr>
                <w:rFonts w:hint="eastAsia" w:ascii="仿宋" w:hAnsi="仿宋" w:eastAsia="仿宋" w:cs="宋体"/>
                <w:color w:val="000000"/>
                <w:sz w:val="22"/>
                <w:szCs w:val="36"/>
              </w:rPr>
              <w:t>青岛市妇女</w:t>
            </w:r>
          </w:p>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儿童医院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2021KFKT028</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蒋明彦</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HIFU联合免疫治疗用于肺转移性肝癌患者中的一项前瞻性、单中心II期临床研究</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湘潭市中心医院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2021KFKT029</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王莎莎</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高强度聚焦超声（HIFU)治疗经化疗失败或化疗不耐受的MSS型肝转移性CRC的免疫效应研究</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青岛大学附属医院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5万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25万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86" w:type="pct"/>
            <w:noWrap w:val="0"/>
            <w:tcMar>
              <w:top w:w="15" w:type="dxa"/>
              <w:left w:w="15" w:type="dxa"/>
              <w:right w:w="15" w:type="dxa"/>
            </w:tcMar>
            <w:vAlign w:val="center"/>
          </w:tcPr>
          <w:p>
            <w:pPr>
              <w:widowControl/>
              <w:jc w:val="center"/>
              <w:textAlignment w:val="center"/>
              <w:rPr>
                <w:rFonts w:ascii="仿宋" w:hAnsi="仿宋" w:eastAsia="仿宋" w:cs="宋体"/>
                <w:sz w:val="22"/>
                <w:szCs w:val="36"/>
              </w:rPr>
            </w:pPr>
            <w:r>
              <w:rPr>
                <w:rFonts w:hint="eastAsia" w:ascii="仿宋" w:hAnsi="仿宋" w:eastAsia="仿宋" w:cs="宋体"/>
                <w:sz w:val="22"/>
                <w:szCs w:val="36"/>
              </w:rPr>
              <w:t>2021KFKT030</w:t>
            </w:r>
          </w:p>
        </w:tc>
        <w:tc>
          <w:tcPr>
            <w:tcW w:w="463"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戴宇</w:t>
            </w:r>
          </w:p>
        </w:tc>
        <w:tc>
          <w:tcPr>
            <w:tcW w:w="268"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面上</w:t>
            </w:r>
          </w:p>
        </w:tc>
        <w:tc>
          <w:tcPr>
            <w:tcW w:w="1549"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无症状小肌瘤决策辅助工具的建立及采用聚焦超声消融手术临床决策影响因素分析</w:t>
            </w:r>
          </w:p>
        </w:tc>
        <w:tc>
          <w:tcPr>
            <w:tcW w:w="732"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南方医科大学附属深圳妇幼保健院</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3万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15万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color w:val="000000"/>
                <w:sz w:val="22"/>
                <w:szCs w:val="36"/>
              </w:rPr>
            </w:pPr>
            <w:r>
              <w:rPr>
                <w:rFonts w:hint="eastAsia" w:ascii="仿宋" w:hAnsi="仿宋" w:eastAsia="仿宋" w:cs="宋体"/>
                <w:color w:val="000000"/>
                <w:sz w:val="22"/>
                <w:szCs w:val="36"/>
              </w:rPr>
              <w:t>18万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3500" w:type="pct"/>
            <w:gridSpan w:val="5"/>
            <w:noWrap w:val="0"/>
            <w:tcMar>
              <w:top w:w="15" w:type="dxa"/>
              <w:left w:w="15" w:type="dxa"/>
              <w:right w:w="15" w:type="dxa"/>
            </w:tcMar>
            <w:vAlign w:val="center"/>
          </w:tcPr>
          <w:p>
            <w:pPr>
              <w:widowControl/>
              <w:jc w:val="center"/>
              <w:textAlignment w:val="center"/>
              <w:rPr>
                <w:rFonts w:ascii="仿宋" w:hAnsi="仿宋" w:eastAsia="仿宋" w:cs="宋体"/>
                <w:b/>
                <w:bCs/>
                <w:sz w:val="22"/>
                <w:szCs w:val="36"/>
              </w:rPr>
            </w:pPr>
            <w:r>
              <w:rPr>
                <w:rFonts w:hint="eastAsia" w:ascii="仿宋" w:hAnsi="仿宋" w:eastAsia="仿宋" w:cs="宋体"/>
                <w:b/>
                <w:bCs/>
                <w:sz w:val="22"/>
                <w:szCs w:val="36"/>
              </w:rPr>
              <w:t>合计</w:t>
            </w:r>
          </w:p>
        </w:tc>
        <w:tc>
          <w:tcPr>
            <w:tcW w:w="555" w:type="pct"/>
            <w:noWrap w:val="0"/>
            <w:tcMar>
              <w:top w:w="15" w:type="dxa"/>
              <w:left w:w="15" w:type="dxa"/>
              <w:right w:w="15" w:type="dxa"/>
            </w:tcMar>
            <w:vAlign w:val="center"/>
          </w:tcPr>
          <w:p>
            <w:pPr>
              <w:widowControl/>
              <w:jc w:val="center"/>
              <w:textAlignment w:val="center"/>
              <w:rPr>
                <w:rFonts w:ascii="仿宋" w:hAnsi="仿宋" w:eastAsia="仿宋" w:cs="宋体"/>
                <w:b/>
                <w:bCs/>
                <w:sz w:val="22"/>
                <w:szCs w:val="36"/>
              </w:rPr>
            </w:pPr>
            <w:r>
              <w:rPr>
                <w:rFonts w:hint="eastAsia" w:ascii="仿宋" w:hAnsi="仿宋" w:eastAsia="仿宋" w:cs="宋体"/>
                <w:b/>
                <w:bCs/>
                <w:sz w:val="22"/>
                <w:szCs w:val="36"/>
              </w:rPr>
              <w:t>82万</w:t>
            </w:r>
          </w:p>
        </w:tc>
        <w:tc>
          <w:tcPr>
            <w:tcW w:w="590" w:type="pct"/>
            <w:noWrap w:val="0"/>
            <w:tcMar>
              <w:top w:w="15" w:type="dxa"/>
              <w:left w:w="15" w:type="dxa"/>
              <w:right w:w="15" w:type="dxa"/>
            </w:tcMar>
            <w:vAlign w:val="center"/>
          </w:tcPr>
          <w:p>
            <w:pPr>
              <w:widowControl/>
              <w:jc w:val="center"/>
              <w:textAlignment w:val="center"/>
              <w:rPr>
                <w:rFonts w:ascii="仿宋" w:hAnsi="仿宋" w:eastAsia="仿宋" w:cs="宋体"/>
                <w:b/>
                <w:bCs/>
                <w:sz w:val="22"/>
                <w:szCs w:val="36"/>
              </w:rPr>
            </w:pPr>
            <w:r>
              <w:rPr>
                <w:rFonts w:hint="eastAsia" w:ascii="仿宋" w:hAnsi="仿宋" w:eastAsia="仿宋" w:cs="宋体"/>
                <w:b/>
                <w:bCs/>
                <w:sz w:val="22"/>
                <w:szCs w:val="36"/>
              </w:rPr>
              <w:t>410万</w:t>
            </w:r>
          </w:p>
        </w:tc>
        <w:tc>
          <w:tcPr>
            <w:tcW w:w="354" w:type="pct"/>
            <w:noWrap w:val="0"/>
            <w:tcMar>
              <w:top w:w="15" w:type="dxa"/>
              <w:left w:w="15" w:type="dxa"/>
              <w:right w:w="15" w:type="dxa"/>
            </w:tcMar>
            <w:vAlign w:val="center"/>
          </w:tcPr>
          <w:p>
            <w:pPr>
              <w:widowControl/>
              <w:jc w:val="center"/>
              <w:textAlignment w:val="center"/>
              <w:rPr>
                <w:rFonts w:ascii="仿宋" w:hAnsi="仿宋" w:eastAsia="仿宋" w:cs="宋体"/>
                <w:b/>
                <w:bCs/>
                <w:sz w:val="22"/>
                <w:szCs w:val="36"/>
              </w:rPr>
            </w:pPr>
            <w:r>
              <w:rPr>
                <w:rFonts w:hint="eastAsia" w:ascii="仿宋" w:hAnsi="仿宋" w:eastAsia="仿宋" w:cs="宋体"/>
                <w:b/>
                <w:bCs/>
                <w:sz w:val="22"/>
                <w:szCs w:val="36"/>
              </w:rPr>
              <w:t>492万</w:t>
            </w:r>
          </w:p>
        </w:tc>
      </w:tr>
    </w:tbl>
    <w:p>
      <w:pPr>
        <w:keepNext w:val="0"/>
        <w:keepLines w:val="0"/>
        <w:widowControl/>
        <w:suppressLineNumbers w:val="0"/>
        <w:spacing w:line="360" w:lineRule="auto"/>
        <w:ind w:firstLine="3920" w:firstLineChars="1400"/>
        <w:jc w:val="left"/>
        <w:rPr>
          <w:rFonts w:hint="eastAsia" w:ascii="仿宋_GB2312" w:hAnsi="仿宋_GB2312" w:eastAsia="仿宋_GB2312" w:cs="仿宋_GB2312"/>
          <w:color w:val="000000"/>
          <w:kern w:val="0"/>
          <w:sz w:val="28"/>
          <w:szCs w:val="28"/>
          <w:lang w:val="en-US" w:eastAsia="zh-CN" w:bidi="ar"/>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OTM1MGQ5Y2RjNDAwMmU3MTQ2MGM4MGQ1YTBlZTIifQ=="/>
  </w:docVars>
  <w:rsids>
    <w:rsidRoot w:val="051D1BA9"/>
    <w:rsid w:val="051D1BA9"/>
    <w:rsid w:val="0D4173C1"/>
    <w:rsid w:val="31C27FB7"/>
    <w:rsid w:val="66EC0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font31"/>
    <w:basedOn w:val="4"/>
    <w:autoRedefine/>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2023-09-05T09:16:00Z</dcterms:created>
  <dc:creator>微信用户</dc:creator>
  <cp:lastModifiedBy>微信用户</cp:lastModifiedBy>
  <dcterms:modified xsi:type="dcterms:W3CDTF">2024-03-06T00:58:52Z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657FE749966F4D87B1C87C9127DDE2F4_11</vt:lpwstr>
  </property>
</Properties>
</file>